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FFFFFF"/>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jc w:val="center"/>
        <w:textAlignment w:val="auto"/>
        <w:rPr>
          <w:rFonts w:hint="eastAsia"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泉州台商投资区</w:t>
      </w:r>
      <w:r>
        <w:rPr>
          <w:rFonts w:hint="default" w:ascii="Times New Roman" w:hAnsi="Times New Roman" w:eastAsia="方正小标宋简体" w:cs="Times New Roman"/>
          <w:sz w:val="44"/>
          <w:szCs w:val="44"/>
          <w:lang w:eastAsia="zh-CN"/>
        </w:rPr>
        <w:t>《</w:t>
      </w:r>
      <w:r>
        <w:rPr>
          <w:rFonts w:hint="default" w:ascii="Times New Roman" w:hAnsi="Times New Roman" w:eastAsia="方正小标宋简体" w:cs="Times New Roman"/>
          <w:sz w:val="44"/>
          <w:szCs w:val="44"/>
          <w:lang w:val="en-US" w:eastAsia="zh-CN"/>
        </w:rPr>
        <w:t>关于进一步加强创新驱动引领高质量发展若干措施</w:t>
      </w:r>
      <w:r>
        <w:rPr>
          <w:rFonts w:hint="default" w:ascii="Times New Roman" w:hAnsi="Times New Roman" w:eastAsia="方正小标宋简体" w:cs="Times New Roman"/>
          <w:sz w:val="44"/>
          <w:szCs w:val="44"/>
          <w:lang w:eastAsia="zh-CN"/>
        </w:rPr>
        <w:t>》</w:t>
      </w:r>
      <w:r>
        <w:rPr>
          <w:rFonts w:hint="eastAsia" w:eastAsia="方正小标宋简体" w:cs="Times New Roman"/>
          <w:sz w:val="44"/>
          <w:szCs w:val="44"/>
          <w:lang w:val="en-US" w:eastAsia="zh-CN"/>
        </w:rPr>
        <w:t>政策解读</w:t>
      </w:r>
    </w:p>
    <w:p>
      <w:pPr>
        <w:keepNext w:val="0"/>
        <w:keepLines w:val="0"/>
        <w:pageBreakBefore w:val="0"/>
        <w:widowControl w:val="0"/>
        <w:suppressAutoHyphens/>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olor w:val="auto"/>
          <w:sz w:val="32"/>
          <w:szCs w:val="32"/>
          <w:highlight w:val="none"/>
          <w:lang w:val="en-US" w:eastAsia="zh-CN"/>
        </w:rPr>
      </w:pPr>
    </w:p>
    <w:p>
      <w:pPr>
        <w:keepNext w:val="0"/>
        <w:keepLines w:val="0"/>
        <w:pageBreakBefore w:val="0"/>
        <w:widowControl w:val="0"/>
        <w:suppressAutoHyphens/>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rPr>
        <w:t>为进一步落实</w:t>
      </w:r>
      <w:r>
        <w:rPr>
          <w:rFonts w:hint="eastAsia" w:ascii="Times New Roman" w:hAnsi="Times New Roman" w:eastAsia="仿宋_GB2312"/>
          <w:color w:val="auto"/>
          <w:sz w:val="32"/>
          <w:szCs w:val="32"/>
          <w:highlight w:val="none"/>
          <w:lang w:val="en-US" w:eastAsia="zh-CN"/>
        </w:rPr>
        <w:t>国家、</w:t>
      </w:r>
      <w:r>
        <w:rPr>
          <w:rFonts w:hint="eastAsia" w:ascii="Times New Roman" w:hAnsi="Times New Roman" w:eastAsia="仿宋_GB2312"/>
          <w:color w:val="auto"/>
          <w:sz w:val="32"/>
          <w:szCs w:val="32"/>
          <w:highlight w:val="none"/>
        </w:rPr>
        <w:t>省、市关于加强创新驱动引领高质量发展部署，加强科技成果转化应用，提升我区科技创新水平，加快发展新质生产力，我区制定了《关于进一步加强创新驱动引领高质量发展若干措施》（以下简称《措施》）。现将政策解读如下：</w:t>
      </w:r>
    </w:p>
    <w:p>
      <w:pPr>
        <w:pStyle w:val="3"/>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auto"/>
          <w:kern w:val="2"/>
          <w:sz w:val="32"/>
          <w:szCs w:val="32"/>
          <w:lang w:val="en-US" w:eastAsia="zh-CN" w:bidi="ar-SA"/>
        </w:rPr>
      </w:pPr>
      <w:r>
        <w:rPr>
          <w:rFonts w:hint="eastAsia" w:ascii="黑体" w:hAnsi="黑体" w:eastAsia="黑体" w:cs="黑体"/>
          <w:b w:val="0"/>
          <w:bCs/>
          <w:color w:val="auto"/>
          <w:kern w:val="2"/>
          <w:sz w:val="32"/>
          <w:szCs w:val="32"/>
          <w:lang w:val="en-US" w:eastAsia="zh-CN" w:bidi="ar-SA"/>
        </w:rPr>
        <w:t>一、制定的依据</w:t>
      </w:r>
    </w:p>
    <w:p>
      <w:pPr>
        <w:pStyle w:val="3"/>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rPr>
        <w:t>依照《泉州市人民政府关于印发泉州市强化企业创新主体地位提升全社会研发投入水平若干措施的通知》（泉政规〔2024〕1号）等市级政策，参照其他县区科技政策</w:t>
      </w:r>
      <w:r>
        <w:rPr>
          <w:rFonts w:hint="eastAsia" w:ascii="Times New Roman" w:hAnsi="Times New Roman" w:eastAsia="仿宋_GB2312" w:cs="Times New Roman"/>
          <w:color w:val="auto"/>
          <w:sz w:val="32"/>
          <w:szCs w:val="32"/>
          <w:lang w:eastAsia="zh-CN"/>
        </w:rPr>
        <w:t xml:space="preserve">，并紧密结合我区的实际情况而制定。 </w:t>
      </w:r>
    </w:p>
    <w:p>
      <w:pPr>
        <w:pStyle w:val="3"/>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auto"/>
          <w:kern w:val="2"/>
          <w:sz w:val="32"/>
          <w:szCs w:val="32"/>
          <w:lang w:val="en-US" w:eastAsia="zh-CN" w:bidi="ar-SA"/>
        </w:rPr>
      </w:pPr>
      <w:r>
        <w:rPr>
          <w:rFonts w:hint="eastAsia" w:ascii="黑体" w:hAnsi="黑体" w:eastAsia="黑体" w:cs="黑体"/>
          <w:b w:val="0"/>
          <w:bCs/>
          <w:color w:val="auto"/>
          <w:kern w:val="2"/>
          <w:sz w:val="32"/>
          <w:szCs w:val="32"/>
          <w:lang w:val="en-US" w:eastAsia="zh-CN" w:bidi="ar-SA"/>
        </w:rPr>
        <w:t>二、制定的原则</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olor w:val="auto"/>
          <w:sz w:val="32"/>
          <w:szCs w:val="32"/>
          <w:lang w:val="en-US" w:eastAsia="zh-CN"/>
        </w:rPr>
      </w:pPr>
      <w:r>
        <w:rPr>
          <w:rFonts w:hint="eastAsia" w:ascii="Times New Roman" w:hAnsi="Times New Roman" w:eastAsia="仿宋_GB2312"/>
          <w:color w:val="auto"/>
          <w:sz w:val="32"/>
          <w:szCs w:val="32"/>
        </w:rPr>
        <w:t>严格遵循《公平竞争审查条例》，对部分</w:t>
      </w:r>
      <w:r>
        <w:rPr>
          <w:rFonts w:hint="eastAsia" w:eastAsia="仿宋_GB2312"/>
          <w:color w:val="auto"/>
          <w:sz w:val="32"/>
          <w:szCs w:val="32"/>
          <w:lang w:val="en-US" w:eastAsia="zh-CN"/>
        </w:rPr>
        <w:t>存在</w:t>
      </w:r>
      <w:r>
        <w:rPr>
          <w:rFonts w:hint="eastAsia" w:ascii="Times New Roman" w:hAnsi="Times New Roman" w:eastAsia="仿宋_GB2312"/>
          <w:color w:val="auto"/>
          <w:sz w:val="32"/>
          <w:szCs w:val="32"/>
        </w:rPr>
        <w:t>违反公平竞争条例、政策兑现频率低、资金补助效率不明显等</w:t>
      </w:r>
      <w:r>
        <w:rPr>
          <w:rFonts w:hint="eastAsia" w:eastAsia="仿宋_GB2312"/>
          <w:color w:val="auto"/>
          <w:sz w:val="32"/>
          <w:szCs w:val="32"/>
          <w:lang w:val="en-US" w:eastAsia="zh-CN"/>
        </w:rPr>
        <w:t>情况的</w:t>
      </w:r>
      <w:r>
        <w:rPr>
          <w:rFonts w:hint="eastAsia" w:ascii="Times New Roman" w:hAnsi="Times New Roman" w:eastAsia="仿宋_GB2312"/>
          <w:color w:val="auto"/>
          <w:sz w:val="32"/>
          <w:szCs w:val="32"/>
        </w:rPr>
        <w:t>政策给予废除和调低，按照高新</w:t>
      </w:r>
      <w:r>
        <w:rPr>
          <w:rFonts w:hint="eastAsia" w:eastAsia="仿宋_GB2312"/>
          <w:color w:val="auto"/>
          <w:sz w:val="32"/>
          <w:szCs w:val="32"/>
          <w:lang w:val="en-US" w:eastAsia="zh-CN"/>
        </w:rPr>
        <w:t>技术</w:t>
      </w:r>
      <w:r>
        <w:rPr>
          <w:rFonts w:hint="eastAsia" w:ascii="Times New Roman" w:hAnsi="Times New Roman" w:eastAsia="仿宋_GB2312"/>
          <w:color w:val="auto"/>
          <w:sz w:val="32"/>
          <w:szCs w:val="32"/>
        </w:rPr>
        <w:t>企业指标增量培育、孵化器及众创空间改年运营补助、持续培育创新载体的思路，进一步提升资金使用效率。</w:t>
      </w:r>
    </w:p>
    <w:p>
      <w:pPr>
        <w:pStyle w:val="3"/>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b w:val="0"/>
          <w:bCs/>
          <w:color w:val="auto"/>
          <w:kern w:val="2"/>
          <w:sz w:val="32"/>
          <w:szCs w:val="32"/>
          <w:lang w:val="en-US" w:eastAsia="zh-CN" w:bidi="ar-SA"/>
        </w:rPr>
      </w:pPr>
      <w:r>
        <w:rPr>
          <w:rFonts w:hint="eastAsia" w:ascii="黑体" w:hAnsi="黑体" w:eastAsia="黑体" w:cs="黑体"/>
          <w:b w:val="0"/>
          <w:bCs/>
          <w:color w:val="auto"/>
          <w:kern w:val="2"/>
          <w:sz w:val="32"/>
          <w:szCs w:val="32"/>
          <w:lang w:val="en-US" w:eastAsia="zh-CN" w:bidi="ar-SA"/>
        </w:rPr>
        <w:t>三、主要调整内容</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olor w:val="auto"/>
          <w:sz w:val="32"/>
          <w:szCs w:val="32"/>
          <w:lang w:eastAsia="zh-CN"/>
        </w:rPr>
      </w:pPr>
      <w:r>
        <w:rPr>
          <w:rFonts w:hint="eastAsia" w:eastAsia="仿宋_GB2312"/>
          <w:b/>
          <w:color w:val="auto"/>
          <w:kern w:val="0"/>
          <w:sz w:val="32"/>
          <w:szCs w:val="32"/>
          <w:shd w:val="clear" w:color="auto" w:fill="FFFFFF"/>
          <w:lang w:val="en-US" w:eastAsia="zh-CN"/>
        </w:rPr>
        <w:t>1.</w:t>
      </w:r>
      <w:r>
        <w:rPr>
          <w:rFonts w:hint="eastAsia" w:ascii="Times New Roman" w:hAnsi="Times New Roman" w:eastAsia="仿宋_GB2312"/>
          <w:b/>
          <w:bCs/>
          <w:color w:val="auto"/>
          <w:sz w:val="32"/>
          <w:szCs w:val="32"/>
        </w:rPr>
        <w:t>培育我区高新技术企业增量。</w:t>
      </w:r>
      <w:r>
        <w:rPr>
          <w:rFonts w:hint="eastAsia" w:ascii="Times New Roman" w:hAnsi="Times New Roman" w:eastAsia="仿宋_GB2312"/>
          <w:b w:val="0"/>
          <w:bCs w:val="0"/>
          <w:color w:val="auto"/>
          <w:sz w:val="32"/>
          <w:szCs w:val="32"/>
          <w:lang w:val="en-US" w:eastAsia="zh-CN"/>
        </w:rPr>
        <w:t>为进一步推动高</w:t>
      </w:r>
      <w:r>
        <w:rPr>
          <w:rFonts w:hint="eastAsia" w:ascii="Times New Roman" w:hAnsi="Times New Roman" w:eastAsia="仿宋_GB2312"/>
          <w:color w:val="auto"/>
          <w:sz w:val="32"/>
          <w:szCs w:val="32"/>
          <w:lang w:val="en-US" w:eastAsia="zh-CN"/>
        </w:rPr>
        <w:t>新技术企业增量培育</w:t>
      </w:r>
      <w:r>
        <w:rPr>
          <w:rFonts w:hint="eastAsia" w:eastAsia="仿宋_GB2312"/>
          <w:color w:val="auto"/>
          <w:sz w:val="32"/>
          <w:szCs w:val="32"/>
          <w:lang w:val="en-US" w:eastAsia="zh-CN"/>
        </w:rPr>
        <w:t>，</w:t>
      </w:r>
      <w:r>
        <w:rPr>
          <w:rFonts w:hint="eastAsia" w:ascii="Times New Roman" w:hAnsi="Times New Roman" w:eastAsia="仿宋_GB2312"/>
          <w:color w:val="auto"/>
          <w:sz w:val="32"/>
          <w:szCs w:val="32"/>
        </w:rPr>
        <w:t>调整</w:t>
      </w:r>
      <w:r>
        <w:rPr>
          <w:rFonts w:hint="eastAsia" w:ascii="Times New Roman" w:hAnsi="Times New Roman" w:eastAsia="仿宋_GB2312"/>
          <w:color w:val="auto"/>
          <w:sz w:val="32"/>
          <w:szCs w:val="32"/>
          <w:lang w:val="en-US" w:eastAsia="zh-CN"/>
        </w:rPr>
        <w:t>认定奖补</w:t>
      </w:r>
      <w:r>
        <w:rPr>
          <w:rFonts w:hint="eastAsia" w:ascii="Times New Roman" w:hAnsi="Times New Roman" w:eastAsia="仿宋_GB2312"/>
          <w:color w:val="auto"/>
          <w:sz w:val="32"/>
          <w:szCs w:val="32"/>
        </w:rPr>
        <w:t>政策</w:t>
      </w:r>
      <w:r>
        <w:rPr>
          <w:rFonts w:hint="eastAsia" w:eastAsia="仿宋_GB2312"/>
          <w:color w:val="auto"/>
          <w:sz w:val="32"/>
          <w:szCs w:val="32"/>
          <w:lang w:eastAsia="zh-CN"/>
        </w:rPr>
        <w:t>，</w:t>
      </w:r>
      <w:r>
        <w:rPr>
          <w:rFonts w:hint="eastAsia" w:eastAsia="仿宋_GB2312"/>
          <w:color w:val="auto"/>
          <w:sz w:val="32"/>
          <w:szCs w:val="32"/>
          <w:lang w:val="en-US" w:eastAsia="zh-CN"/>
        </w:rPr>
        <w:t>降门槛、提标准，</w:t>
      </w:r>
      <w:r>
        <w:rPr>
          <w:rFonts w:hint="eastAsia" w:ascii="Times New Roman" w:hAnsi="Times New Roman" w:eastAsia="仿宋_GB2312"/>
          <w:color w:val="auto"/>
          <w:sz w:val="32"/>
          <w:szCs w:val="32"/>
          <w:lang w:val="en-US" w:eastAsia="zh-CN"/>
        </w:rPr>
        <w:t>提高财政资金使用效率，</w:t>
      </w:r>
      <w:r>
        <w:rPr>
          <w:rFonts w:hint="eastAsia" w:eastAsia="仿宋_GB2312"/>
          <w:color w:val="auto"/>
          <w:sz w:val="32"/>
          <w:szCs w:val="32"/>
          <w:lang w:val="en-US" w:eastAsia="zh-CN"/>
        </w:rPr>
        <w:t>企业最高可获得60万元奖补资金</w:t>
      </w:r>
      <w:r>
        <w:rPr>
          <w:rFonts w:hint="eastAsia" w:ascii="Times New Roman" w:hAnsi="Times New Roman" w:eastAsia="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olor w:val="auto"/>
          <w:sz w:val="32"/>
          <w:szCs w:val="32"/>
          <w:lang w:eastAsia="zh-CN"/>
        </w:rPr>
      </w:pPr>
      <w:r>
        <w:rPr>
          <w:rFonts w:hint="eastAsia" w:ascii="仿宋_GB2312" w:hAnsi="仿宋_GB2312" w:eastAsia="仿宋_GB2312" w:cs="仿宋_GB2312"/>
          <w:b/>
          <w:bCs/>
          <w:color w:val="auto"/>
          <w:sz w:val="32"/>
          <w:szCs w:val="32"/>
        </w:rPr>
        <w:t>一是对新认定的</w:t>
      </w:r>
      <w:r>
        <w:rPr>
          <w:rFonts w:hint="eastAsia" w:ascii="仿宋_GB2312" w:hAnsi="仿宋_GB2312" w:eastAsia="仿宋_GB2312" w:cs="仿宋_GB2312"/>
          <w:b/>
          <w:bCs/>
          <w:color w:val="auto"/>
          <w:sz w:val="32"/>
          <w:szCs w:val="32"/>
          <w:lang w:val="en-US" w:eastAsia="zh-CN"/>
        </w:rPr>
        <w:t>高新技术企业</w:t>
      </w:r>
      <w:r>
        <w:rPr>
          <w:rFonts w:hint="eastAsia" w:ascii="仿宋_GB2312" w:hAnsi="仿宋_GB2312" w:eastAsia="仿宋_GB2312" w:cs="仿宋_GB2312"/>
          <w:b/>
          <w:bCs/>
          <w:color w:val="auto"/>
          <w:sz w:val="32"/>
          <w:szCs w:val="32"/>
        </w:rPr>
        <w:t>，</w:t>
      </w:r>
      <w:r>
        <w:rPr>
          <w:rFonts w:hint="eastAsia" w:ascii="Times New Roman" w:hAnsi="Times New Roman" w:eastAsia="仿宋_GB2312"/>
          <w:color w:val="auto"/>
          <w:sz w:val="32"/>
          <w:szCs w:val="32"/>
          <w:lang w:eastAsia="zh-CN"/>
        </w:rPr>
        <w:t>下调企业营业收入要求，</w:t>
      </w:r>
      <w:r>
        <w:rPr>
          <w:rFonts w:hint="eastAsia" w:ascii="Times New Roman" w:hAnsi="Times New Roman" w:eastAsia="仿宋_GB2312"/>
          <w:color w:val="auto"/>
          <w:sz w:val="32"/>
          <w:szCs w:val="32"/>
        </w:rPr>
        <w:t>由原本</w:t>
      </w:r>
      <w:r>
        <w:rPr>
          <w:rFonts w:hint="eastAsia" w:eastAsia="仿宋_GB2312"/>
          <w:color w:val="auto"/>
          <w:sz w:val="32"/>
          <w:szCs w:val="32"/>
          <w:lang w:val="en-US" w:eastAsia="zh-CN"/>
        </w:rPr>
        <w:t>对</w:t>
      </w:r>
      <w:r>
        <w:rPr>
          <w:rFonts w:hint="eastAsia" w:ascii="Times New Roman" w:hAnsi="Times New Roman" w:eastAsia="仿宋_GB2312"/>
          <w:color w:val="auto"/>
          <w:sz w:val="32"/>
          <w:szCs w:val="32"/>
          <w:lang w:eastAsia="zh-CN"/>
        </w:rPr>
        <w:t>规模以下且上年度</w:t>
      </w:r>
      <w:r>
        <w:rPr>
          <w:rFonts w:hint="eastAsia" w:eastAsia="仿宋_GB2312"/>
          <w:color w:val="auto"/>
          <w:sz w:val="32"/>
          <w:szCs w:val="32"/>
          <w:lang w:val="en-US" w:eastAsia="zh-CN"/>
        </w:rPr>
        <w:t>营业收入</w:t>
      </w:r>
      <w:r>
        <w:rPr>
          <w:rFonts w:hint="eastAsia" w:ascii="Times New Roman" w:hAnsi="Times New Roman" w:eastAsia="仿宋_GB2312"/>
          <w:color w:val="auto"/>
          <w:sz w:val="32"/>
          <w:szCs w:val="32"/>
          <w:lang w:eastAsia="zh-CN"/>
        </w:rPr>
        <w:t>超</w:t>
      </w:r>
      <w:r>
        <w:rPr>
          <w:rFonts w:hint="eastAsia" w:ascii="Times New Roman" w:hAnsi="Times New Roman" w:eastAsia="仿宋_GB2312"/>
          <w:color w:val="auto"/>
          <w:sz w:val="32"/>
          <w:szCs w:val="32"/>
          <w:lang w:val="en-US" w:eastAsia="zh-CN"/>
        </w:rPr>
        <w:t>300万元的企业</w:t>
      </w:r>
      <w:r>
        <w:rPr>
          <w:rFonts w:hint="eastAsia" w:ascii="Times New Roman" w:hAnsi="Times New Roman" w:eastAsia="仿宋_GB2312"/>
          <w:color w:val="auto"/>
          <w:sz w:val="32"/>
          <w:szCs w:val="32"/>
        </w:rPr>
        <w:t>奖补50万元</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lang w:val="en-US" w:eastAsia="zh-CN"/>
        </w:rPr>
        <w:t>规模以上企业奖补60万元</w:t>
      </w:r>
      <w:r>
        <w:rPr>
          <w:rFonts w:hint="eastAsia" w:ascii="Times New Roman" w:hAnsi="Times New Roman" w:eastAsia="仿宋_GB2312"/>
          <w:color w:val="auto"/>
          <w:sz w:val="32"/>
          <w:szCs w:val="32"/>
        </w:rPr>
        <w:t>，变更为</w:t>
      </w:r>
      <w:r>
        <w:rPr>
          <w:rFonts w:hint="eastAsia" w:eastAsia="仿宋_GB2312"/>
          <w:color w:val="auto"/>
          <w:sz w:val="32"/>
          <w:szCs w:val="32"/>
          <w:lang w:val="en-US" w:eastAsia="zh-CN"/>
        </w:rPr>
        <w:t>对</w:t>
      </w:r>
      <w:r>
        <w:rPr>
          <w:rFonts w:hint="eastAsia" w:ascii="Times New Roman" w:hAnsi="Times New Roman" w:eastAsia="仿宋_GB2312"/>
          <w:color w:val="auto"/>
          <w:sz w:val="32"/>
          <w:szCs w:val="32"/>
        </w:rPr>
        <w:t>上年度</w:t>
      </w:r>
      <w:r>
        <w:rPr>
          <w:rFonts w:hint="eastAsia" w:eastAsia="仿宋_GB2312"/>
          <w:color w:val="auto"/>
          <w:sz w:val="32"/>
          <w:szCs w:val="32"/>
          <w:lang w:val="en-US" w:eastAsia="zh-CN"/>
        </w:rPr>
        <w:t>营业收入</w:t>
      </w:r>
      <w:r>
        <w:rPr>
          <w:rFonts w:hint="eastAsia" w:ascii="Times New Roman" w:hAnsi="Times New Roman" w:eastAsia="仿宋_GB2312"/>
          <w:color w:val="auto"/>
          <w:sz w:val="32"/>
          <w:szCs w:val="32"/>
        </w:rPr>
        <w:t>100万元以下</w:t>
      </w:r>
      <w:r>
        <w:rPr>
          <w:rFonts w:hint="eastAsia" w:ascii="Times New Roman" w:hAnsi="Times New Roman" w:eastAsia="仿宋_GB2312"/>
          <w:color w:val="auto"/>
          <w:sz w:val="32"/>
          <w:szCs w:val="32"/>
          <w:lang w:val="en-US" w:eastAsia="zh-CN"/>
        </w:rPr>
        <w:t>的企业</w:t>
      </w:r>
      <w:r>
        <w:rPr>
          <w:rFonts w:hint="eastAsia" w:ascii="Times New Roman" w:hAnsi="Times New Roman" w:eastAsia="仿宋_GB2312"/>
          <w:color w:val="auto"/>
          <w:sz w:val="32"/>
          <w:szCs w:val="32"/>
        </w:rPr>
        <w:t>无奖补、</w:t>
      </w:r>
      <w:r>
        <w:rPr>
          <w:rFonts w:hint="eastAsia" w:eastAsia="仿宋_GB2312"/>
          <w:color w:val="auto"/>
          <w:sz w:val="32"/>
          <w:szCs w:val="32"/>
          <w:lang w:val="en-US" w:eastAsia="zh-CN"/>
        </w:rPr>
        <w:t>营业收入</w:t>
      </w:r>
      <w:r>
        <w:rPr>
          <w:rFonts w:hint="eastAsia" w:ascii="Times New Roman" w:hAnsi="Times New Roman" w:eastAsia="仿宋_GB2312"/>
          <w:color w:val="auto"/>
          <w:sz w:val="32"/>
          <w:szCs w:val="32"/>
        </w:rPr>
        <w:t>100万元至300万元</w:t>
      </w:r>
      <w:r>
        <w:rPr>
          <w:rFonts w:hint="eastAsia" w:ascii="Times New Roman" w:hAnsi="Times New Roman" w:eastAsia="仿宋_GB2312"/>
          <w:color w:val="auto"/>
          <w:sz w:val="32"/>
          <w:szCs w:val="32"/>
          <w:lang w:val="en-US" w:eastAsia="zh-CN"/>
        </w:rPr>
        <w:t>的企业</w:t>
      </w:r>
      <w:r>
        <w:rPr>
          <w:rFonts w:hint="eastAsia" w:ascii="Times New Roman" w:hAnsi="Times New Roman" w:eastAsia="仿宋_GB2312"/>
          <w:color w:val="auto"/>
          <w:sz w:val="32"/>
          <w:szCs w:val="32"/>
        </w:rPr>
        <w:t>奖补20万元、</w:t>
      </w:r>
      <w:r>
        <w:rPr>
          <w:rFonts w:hint="eastAsia" w:eastAsia="仿宋_GB2312"/>
          <w:color w:val="auto"/>
          <w:sz w:val="32"/>
          <w:szCs w:val="32"/>
          <w:lang w:val="en-US" w:eastAsia="zh-CN"/>
        </w:rPr>
        <w:t>营业收入</w:t>
      </w:r>
      <w:r>
        <w:rPr>
          <w:rFonts w:hint="eastAsia" w:ascii="Times New Roman" w:hAnsi="Times New Roman" w:eastAsia="仿宋_GB2312"/>
          <w:color w:val="auto"/>
          <w:sz w:val="32"/>
          <w:szCs w:val="32"/>
        </w:rPr>
        <w:t>300万元至2000万元</w:t>
      </w:r>
      <w:r>
        <w:rPr>
          <w:rFonts w:hint="eastAsia" w:ascii="Times New Roman" w:hAnsi="Times New Roman" w:eastAsia="仿宋_GB2312"/>
          <w:color w:val="auto"/>
          <w:sz w:val="32"/>
          <w:szCs w:val="32"/>
          <w:lang w:val="en-US" w:eastAsia="zh-CN"/>
        </w:rPr>
        <w:t>的企业</w:t>
      </w:r>
      <w:r>
        <w:rPr>
          <w:rFonts w:hint="eastAsia" w:ascii="Times New Roman" w:hAnsi="Times New Roman" w:eastAsia="仿宋_GB2312"/>
          <w:color w:val="auto"/>
          <w:sz w:val="32"/>
          <w:szCs w:val="32"/>
        </w:rPr>
        <w:t>奖补40万元</w:t>
      </w:r>
      <w:r>
        <w:rPr>
          <w:rFonts w:hint="eastAsia" w:ascii="Times New Roman" w:hAnsi="Times New Roman" w:eastAsia="仿宋_GB2312"/>
          <w:color w:val="auto"/>
          <w:sz w:val="32"/>
          <w:szCs w:val="32"/>
          <w:lang w:eastAsia="zh-CN"/>
        </w:rPr>
        <w:t>、</w:t>
      </w:r>
      <w:r>
        <w:rPr>
          <w:rFonts w:hint="eastAsia" w:eastAsia="仿宋_GB2312"/>
          <w:color w:val="auto"/>
          <w:sz w:val="32"/>
          <w:szCs w:val="32"/>
          <w:lang w:val="en-US" w:eastAsia="zh-CN"/>
        </w:rPr>
        <w:t>营业收入</w:t>
      </w:r>
      <w:r>
        <w:rPr>
          <w:rFonts w:hint="eastAsia" w:ascii="Times New Roman" w:hAnsi="Times New Roman" w:eastAsia="仿宋_GB2312"/>
          <w:color w:val="auto"/>
          <w:sz w:val="32"/>
          <w:szCs w:val="32"/>
        </w:rPr>
        <w:t>2000万元以上</w:t>
      </w:r>
      <w:r>
        <w:rPr>
          <w:rFonts w:hint="eastAsia" w:ascii="Times New Roman" w:hAnsi="Times New Roman" w:eastAsia="仿宋_GB2312"/>
          <w:color w:val="auto"/>
          <w:sz w:val="32"/>
          <w:szCs w:val="32"/>
          <w:lang w:val="en-US" w:eastAsia="zh-CN"/>
        </w:rPr>
        <w:t>的企业</w:t>
      </w:r>
      <w:r>
        <w:rPr>
          <w:rFonts w:hint="eastAsia" w:ascii="Times New Roman" w:hAnsi="Times New Roman" w:eastAsia="仿宋_GB2312"/>
          <w:color w:val="auto"/>
          <w:sz w:val="32"/>
          <w:szCs w:val="32"/>
        </w:rPr>
        <w:t>奖补60万元</w:t>
      </w:r>
      <w:r>
        <w:rPr>
          <w:rFonts w:hint="eastAsia" w:ascii="Times New Roman" w:hAnsi="Times New Roman" w:eastAsia="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color w:val="auto"/>
          <w:sz w:val="32"/>
          <w:szCs w:val="32"/>
        </w:rPr>
      </w:pPr>
      <w:bookmarkStart w:id="0" w:name="_GoBack"/>
      <w:r>
        <w:rPr>
          <w:rFonts w:hint="eastAsia" w:ascii="仿宋_GB2312" w:hAnsi="仿宋_GB2312" w:eastAsia="仿宋_GB2312" w:cs="仿宋_GB2312"/>
          <w:b/>
          <w:bCs/>
          <w:color w:val="auto"/>
          <w:sz w:val="32"/>
          <w:szCs w:val="32"/>
        </w:rPr>
        <w:t>二是对重新认定的</w:t>
      </w:r>
      <w:r>
        <w:rPr>
          <w:rFonts w:hint="eastAsia" w:ascii="仿宋_GB2312" w:hAnsi="仿宋_GB2312" w:eastAsia="仿宋_GB2312" w:cs="仿宋_GB2312"/>
          <w:b/>
          <w:bCs/>
          <w:color w:val="auto"/>
          <w:sz w:val="32"/>
          <w:szCs w:val="32"/>
          <w:lang w:val="en-US" w:eastAsia="zh-CN"/>
        </w:rPr>
        <w:t>高新技术企业</w:t>
      </w:r>
      <w:r>
        <w:rPr>
          <w:rFonts w:hint="eastAsia" w:ascii="仿宋_GB2312" w:hAnsi="仿宋_GB2312" w:eastAsia="仿宋_GB2312" w:cs="仿宋_GB2312"/>
          <w:b/>
          <w:bCs/>
          <w:color w:val="auto"/>
          <w:sz w:val="32"/>
          <w:szCs w:val="32"/>
          <w:lang w:eastAsia="zh-CN"/>
        </w:rPr>
        <w:t>，</w:t>
      </w:r>
      <w:bookmarkEnd w:id="0"/>
      <w:r>
        <w:rPr>
          <w:rFonts w:hint="eastAsia" w:ascii="Times New Roman" w:hAnsi="Times New Roman" w:eastAsia="仿宋_GB2312"/>
          <w:color w:val="auto"/>
          <w:sz w:val="32"/>
          <w:szCs w:val="32"/>
          <w:lang w:eastAsia="zh-CN"/>
        </w:rPr>
        <w:t>原政策为</w:t>
      </w:r>
      <w:r>
        <w:rPr>
          <w:rFonts w:hint="eastAsia" w:eastAsia="仿宋_GB2312"/>
          <w:color w:val="auto"/>
          <w:sz w:val="32"/>
          <w:szCs w:val="32"/>
          <w:lang w:val="en-US" w:eastAsia="zh-CN"/>
        </w:rPr>
        <w:t>执行</w:t>
      </w:r>
      <w:r>
        <w:rPr>
          <w:rFonts w:hint="eastAsia" w:ascii="Times New Roman" w:hAnsi="Times New Roman" w:eastAsia="仿宋_GB2312"/>
          <w:color w:val="auto"/>
          <w:sz w:val="32"/>
          <w:szCs w:val="32"/>
          <w:lang w:eastAsia="zh-CN"/>
        </w:rPr>
        <w:t>市级政策，</w:t>
      </w:r>
      <w:r>
        <w:rPr>
          <w:rFonts w:hint="eastAsia" w:eastAsia="仿宋_GB2312"/>
          <w:color w:val="auto"/>
          <w:sz w:val="32"/>
          <w:szCs w:val="32"/>
          <w:lang w:val="en-US" w:eastAsia="zh-CN"/>
        </w:rPr>
        <w:t>对</w:t>
      </w:r>
      <w:r>
        <w:rPr>
          <w:rFonts w:hint="eastAsia" w:ascii="Times New Roman" w:hAnsi="Times New Roman" w:eastAsia="仿宋_GB2312"/>
          <w:color w:val="auto"/>
          <w:sz w:val="32"/>
          <w:szCs w:val="32"/>
          <w:lang w:eastAsia="zh-CN"/>
        </w:rPr>
        <w:t>上年度</w:t>
      </w:r>
      <w:r>
        <w:rPr>
          <w:rFonts w:hint="eastAsia" w:eastAsia="仿宋_GB2312"/>
          <w:color w:val="auto"/>
          <w:sz w:val="32"/>
          <w:szCs w:val="32"/>
          <w:lang w:val="en-US" w:eastAsia="zh-CN"/>
        </w:rPr>
        <w:t>营业收入</w:t>
      </w:r>
      <w:r>
        <w:rPr>
          <w:rFonts w:hint="eastAsia" w:ascii="Times New Roman" w:hAnsi="Times New Roman" w:eastAsia="仿宋_GB2312"/>
          <w:color w:val="auto"/>
          <w:sz w:val="32"/>
          <w:szCs w:val="32"/>
          <w:lang w:val="en-US" w:eastAsia="zh-CN"/>
        </w:rPr>
        <w:t>300万元及以上</w:t>
      </w:r>
      <w:r>
        <w:rPr>
          <w:rFonts w:hint="eastAsia" w:eastAsia="仿宋_GB2312"/>
          <w:color w:val="auto"/>
          <w:sz w:val="32"/>
          <w:szCs w:val="32"/>
          <w:lang w:val="en-US" w:eastAsia="zh-CN"/>
        </w:rPr>
        <w:t>企业</w:t>
      </w:r>
      <w:r>
        <w:rPr>
          <w:rFonts w:hint="eastAsia" w:ascii="Times New Roman" w:hAnsi="Times New Roman" w:eastAsia="仿宋_GB2312"/>
          <w:color w:val="auto"/>
          <w:sz w:val="32"/>
          <w:szCs w:val="32"/>
          <w:lang w:val="en-US" w:eastAsia="zh-CN"/>
        </w:rPr>
        <w:t>总奖补金额10万元，</w:t>
      </w:r>
      <w:r>
        <w:rPr>
          <w:rFonts w:hint="eastAsia" w:ascii="Times New Roman" w:hAnsi="Times New Roman" w:eastAsia="仿宋_GB2312"/>
          <w:color w:val="auto"/>
          <w:sz w:val="32"/>
          <w:szCs w:val="32"/>
          <w:lang w:eastAsia="zh-CN"/>
        </w:rPr>
        <w:t>市、区两级</w:t>
      </w:r>
      <w:r>
        <w:rPr>
          <w:rFonts w:hint="eastAsia" w:ascii="Times New Roman" w:hAnsi="Times New Roman" w:eastAsia="仿宋_GB2312"/>
          <w:color w:val="auto"/>
          <w:sz w:val="32"/>
          <w:szCs w:val="32"/>
          <w:lang w:val="en-US" w:eastAsia="zh-CN"/>
        </w:rPr>
        <w:t>1:1</w:t>
      </w:r>
      <w:r>
        <w:rPr>
          <w:rFonts w:hint="eastAsia" w:eastAsia="仿宋_GB2312"/>
          <w:color w:val="auto"/>
          <w:sz w:val="32"/>
          <w:szCs w:val="32"/>
          <w:lang w:val="en-US" w:eastAsia="zh-CN"/>
        </w:rPr>
        <w:t>分摊</w:t>
      </w:r>
      <w:r>
        <w:rPr>
          <w:rFonts w:hint="eastAsia" w:ascii="Times New Roman" w:hAnsi="Times New Roman" w:eastAsia="仿宋_GB2312"/>
          <w:color w:val="auto"/>
          <w:sz w:val="32"/>
          <w:szCs w:val="32"/>
          <w:lang w:val="en-US" w:eastAsia="zh-CN"/>
        </w:rPr>
        <w:t>，现</w:t>
      </w:r>
      <w:r>
        <w:rPr>
          <w:rFonts w:hint="eastAsia" w:ascii="Times New Roman" w:hAnsi="Times New Roman" w:eastAsia="仿宋_GB2312"/>
          <w:color w:val="auto"/>
          <w:sz w:val="32"/>
          <w:szCs w:val="32"/>
          <w:lang w:eastAsia="zh-CN"/>
        </w:rPr>
        <w:t>下调企业营业收入要求，</w:t>
      </w:r>
      <w:r>
        <w:rPr>
          <w:rFonts w:hint="eastAsia" w:ascii="Times New Roman" w:hAnsi="Times New Roman" w:eastAsia="仿宋_GB2312"/>
          <w:color w:val="auto"/>
          <w:sz w:val="32"/>
          <w:szCs w:val="32"/>
          <w:lang w:val="en-US" w:eastAsia="zh-CN"/>
        </w:rPr>
        <w:t>调整为</w:t>
      </w:r>
      <w:r>
        <w:rPr>
          <w:rFonts w:hint="eastAsia" w:ascii="Times New Roman" w:hAnsi="Times New Roman" w:eastAsia="仿宋_GB2312"/>
          <w:color w:val="auto"/>
          <w:sz w:val="32"/>
          <w:szCs w:val="32"/>
          <w:lang w:eastAsia="zh-CN"/>
        </w:rPr>
        <w:t>上年度</w:t>
      </w:r>
      <w:r>
        <w:rPr>
          <w:rFonts w:hint="eastAsia" w:eastAsia="仿宋_GB2312"/>
          <w:color w:val="auto"/>
          <w:sz w:val="32"/>
          <w:szCs w:val="32"/>
          <w:lang w:val="en-US" w:eastAsia="zh-CN"/>
        </w:rPr>
        <w:t>营业收入</w:t>
      </w:r>
      <w:r>
        <w:rPr>
          <w:rFonts w:hint="eastAsia" w:ascii="Times New Roman" w:hAnsi="Times New Roman" w:eastAsia="仿宋_GB2312"/>
          <w:color w:val="auto"/>
          <w:sz w:val="32"/>
          <w:szCs w:val="32"/>
          <w:lang w:val="en-US" w:eastAsia="zh-CN"/>
        </w:rPr>
        <w:t>100万元以下</w:t>
      </w:r>
      <w:r>
        <w:rPr>
          <w:rFonts w:hint="eastAsia" w:eastAsia="仿宋_GB2312"/>
          <w:color w:val="auto"/>
          <w:sz w:val="32"/>
          <w:szCs w:val="32"/>
          <w:lang w:val="en-US" w:eastAsia="zh-CN"/>
        </w:rPr>
        <w:t>的企业</w:t>
      </w:r>
      <w:r>
        <w:rPr>
          <w:rFonts w:hint="eastAsia" w:ascii="Times New Roman" w:hAnsi="Times New Roman" w:eastAsia="仿宋_GB2312"/>
          <w:color w:val="auto"/>
          <w:sz w:val="32"/>
          <w:szCs w:val="32"/>
          <w:lang w:val="en-US" w:eastAsia="zh-CN"/>
        </w:rPr>
        <w:t>无奖补</w:t>
      </w:r>
      <w:r>
        <w:rPr>
          <w:rFonts w:hint="eastAsia" w:ascii="Times New Roman" w:hAnsi="Times New Roman" w:eastAsia="仿宋_GB2312"/>
          <w:color w:val="auto"/>
          <w:sz w:val="32"/>
          <w:szCs w:val="32"/>
          <w:lang w:eastAsia="zh-CN"/>
        </w:rPr>
        <w:t>、</w:t>
      </w:r>
      <w:r>
        <w:rPr>
          <w:rFonts w:hint="eastAsia" w:eastAsia="仿宋_GB2312"/>
          <w:color w:val="auto"/>
          <w:sz w:val="32"/>
          <w:szCs w:val="32"/>
          <w:lang w:val="en-US" w:eastAsia="zh-CN"/>
        </w:rPr>
        <w:t>营业收入</w:t>
      </w:r>
      <w:r>
        <w:rPr>
          <w:rFonts w:hint="eastAsia" w:ascii="Times New Roman" w:hAnsi="Times New Roman" w:eastAsia="仿宋_GB2312"/>
          <w:color w:val="auto"/>
          <w:sz w:val="32"/>
          <w:szCs w:val="32"/>
        </w:rPr>
        <w:t>100万元至300万元</w:t>
      </w:r>
      <w:r>
        <w:rPr>
          <w:rFonts w:hint="eastAsia" w:eastAsia="仿宋_GB2312"/>
          <w:color w:val="auto"/>
          <w:sz w:val="32"/>
          <w:szCs w:val="32"/>
          <w:lang w:val="en-US" w:eastAsia="zh-CN"/>
        </w:rPr>
        <w:t>的企业</w:t>
      </w:r>
      <w:r>
        <w:rPr>
          <w:rFonts w:hint="eastAsia" w:ascii="Times New Roman" w:hAnsi="Times New Roman" w:eastAsia="仿宋_GB2312"/>
          <w:color w:val="auto"/>
          <w:sz w:val="32"/>
          <w:szCs w:val="32"/>
        </w:rPr>
        <w:t>奖补10万元</w:t>
      </w:r>
      <w:r>
        <w:rPr>
          <w:rFonts w:hint="eastAsia" w:ascii="Times New Roman" w:hAnsi="Times New Roman" w:eastAsia="仿宋_GB2312"/>
          <w:color w:val="auto"/>
          <w:sz w:val="32"/>
          <w:szCs w:val="32"/>
          <w:lang w:eastAsia="zh-CN"/>
        </w:rPr>
        <w:t>、</w:t>
      </w:r>
      <w:r>
        <w:rPr>
          <w:rFonts w:hint="eastAsia" w:eastAsia="仿宋_GB2312"/>
          <w:color w:val="auto"/>
          <w:sz w:val="32"/>
          <w:szCs w:val="32"/>
          <w:lang w:val="en-US" w:eastAsia="zh-CN"/>
        </w:rPr>
        <w:t>营业收入</w:t>
      </w:r>
      <w:r>
        <w:rPr>
          <w:rFonts w:hint="eastAsia" w:ascii="Times New Roman" w:hAnsi="Times New Roman" w:eastAsia="仿宋_GB2312"/>
          <w:color w:val="auto"/>
          <w:sz w:val="32"/>
          <w:szCs w:val="32"/>
        </w:rPr>
        <w:t>超过300万元</w:t>
      </w:r>
      <w:r>
        <w:rPr>
          <w:rFonts w:hint="eastAsia" w:eastAsia="仿宋_GB2312"/>
          <w:color w:val="auto"/>
          <w:sz w:val="32"/>
          <w:szCs w:val="32"/>
          <w:lang w:val="en-US" w:eastAsia="zh-CN"/>
        </w:rPr>
        <w:t>的企业</w:t>
      </w:r>
      <w:r>
        <w:rPr>
          <w:rFonts w:hint="eastAsia" w:ascii="Times New Roman" w:hAnsi="Times New Roman" w:eastAsia="仿宋_GB2312"/>
          <w:color w:val="auto"/>
          <w:sz w:val="32"/>
          <w:szCs w:val="32"/>
        </w:rPr>
        <w:t>奖补15万元。以上条款</w:t>
      </w:r>
      <w:r>
        <w:rPr>
          <w:rFonts w:ascii="Times New Roman" w:hAnsi="Times New Roman" w:eastAsia="仿宋_GB2312"/>
          <w:color w:val="auto"/>
          <w:sz w:val="32"/>
          <w:szCs w:val="32"/>
        </w:rPr>
        <w:t>含市级奖励</w:t>
      </w:r>
      <w:r>
        <w:rPr>
          <w:rFonts w:hint="eastAsia" w:ascii="Times New Roman" w:hAnsi="Times New Roman" w:eastAsia="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olor w:val="auto"/>
          <w:sz w:val="32"/>
          <w:szCs w:val="32"/>
        </w:rPr>
      </w:pPr>
      <w:r>
        <w:rPr>
          <w:rFonts w:hint="eastAsia" w:eastAsia="仿宋_GB2312"/>
          <w:b/>
          <w:bCs/>
          <w:color w:val="auto"/>
          <w:sz w:val="32"/>
          <w:szCs w:val="32"/>
          <w:lang w:val="en-US" w:eastAsia="zh-CN"/>
        </w:rPr>
        <w:t>2.</w:t>
      </w:r>
      <w:r>
        <w:rPr>
          <w:rFonts w:hint="eastAsia" w:ascii="Times New Roman" w:hAnsi="Times New Roman" w:eastAsia="仿宋_GB2312"/>
          <w:b/>
          <w:bCs/>
          <w:color w:val="auto"/>
          <w:sz w:val="32"/>
          <w:szCs w:val="32"/>
        </w:rPr>
        <w:t>扩大高水平</w:t>
      </w:r>
      <w:r>
        <w:rPr>
          <w:rFonts w:hint="eastAsia" w:ascii="Times New Roman" w:hAnsi="Times New Roman" w:eastAsia="仿宋_GB2312"/>
          <w:b/>
          <w:bCs/>
          <w:color w:val="auto"/>
          <w:sz w:val="32"/>
          <w:szCs w:val="32"/>
          <w:lang w:eastAsia="zh-CN"/>
        </w:rPr>
        <w:t>创新平台</w:t>
      </w:r>
      <w:r>
        <w:rPr>
          <w:rFonts w:hint="eastAsia" w:ascii="Times New Roman" w:hAnsi="Times New Roman" w:eastAsia="仿宋_GB2312"/>
          <w:b/>
          <w:bCs/>
          <w:color w:val="auto"/>
          <w:sz w:val="32"/>
          <w:szCs w:val="32"/>
        </w:rPr>
        <w:t>奖</w:t>
      </w:r>
      <w:r>
        <w:rPr>
          <w:rFonts w:hint="eastAsia" w:ascii="Times New Roman" w:hAnsi="Times New Roman" w:eastAsia="仿宋_GB2312"/>
          <w:b/>
          <w:bCs/>
          <w:color w:val="auto"/>
          <w:sz w:val="32"/>
          <w:szCs w:val="32"/>
          <w:lang w:eastAsia="zh-CN"/>
        </w:rPr>
        <w:t>补</w:t>
      </w:r>
      <w:r>
        <w:rPr>
          <w:rFonts w:hint="eastAsia" w:ascii="Times New Roman" w:hAnsi="Times New Roman" w:eastAsia="仿宋_GB2312"/>
          <w:b/>
          <w:bCs/>
          <w:color w:val="auto"/>
          <w:sz w:val="32"/>
          <w:szCs w:val="32"/>
        </w:rPr>
        <w:t>认定</w:t>
      </w:r>
      <w:r>
        <w:rPr>
          <w:rFonts w:hint="eastAsia" w:ascii="Times New Roman" w:hAnsi="Times New Roman" w:eastAsia="仿宋_GB2312"/>
          <w:b/>
          <w:bCs/>
          <w:color w:val="auto"/>
          <w:sz w:val="32"/>
          <w:szCs w:val="32"/>
          <w:lang w:eastAsia="zh-CN"/>
        </w:rPr>
        <w:t>范围</w:t>
      </w:r>
      <w:r>
        <w:rPr>
          <w:rFonts w:hint="eastAsia" w:ascii="Times New Roman" w:hAnsi="Times New Roman" w:eastAsia="仿宋_GB2312"/>
          <w:b/>
          <w:bCs/>
          <w:color w:val="auto"/>
          <w:sz w:val="32"/>
          <w:szCs w:val="32"/>
        </w:rPr>
        <w:t>。</w:t>
      </w:r>
      <w:r>
        <w:rPr>
          <w:rFonts w:hint="eastAsia" w:ascii="Times New Roman" w:hAnsi="Times New Roman" w:eastAsia="仿宋_GB2312"/>
          <w:color w:val="auto"/>
          <w:sz w:val="32"/>
          <w:szCs w:val="32"/>
          <w:lang w:val="en-US" w:eastAsia="zh-CN"/>
        </w:rPr>
        <w:t>根据《泉州市人民政府办公室关于印发泉州市推动中试验证平台建设专项行动方案的通知》（泉政办明传</w:t>
      </w:r>
      <w:r>
        <w:rPr>
          <w:rFonts w:hint="eastAsia" w:ascii="Times New Roman" w:hAnsi="Times New Roman" w:eastAsia="仿宋_GB2312" w:cs="Times New Roman"/>
          <w:color w:val="auto"/>
          <w:sz w:val="32"/>
          <w:szCs w:val="32"/>
        </w:rPr>
        <w:t>〔202</w:t>
      </w:r>
      <w:r>
        <w:rPr>
          <w:rFonts w:hint="eastAsia" w:ascii="Times New Roman" w:hAnsi="Times New Roman" w:eastAsia="仿宋_GB2312" w:cs="Times New Roman"/>
          <w:color w:val="auto"/>
          <w:sz w:val="32"/>
          <w:szCs w:val="32"/>
          <w:lang w:val="en-US" w:eastAsia="zh-CN"/>
        </w:rPr>
        <w:t>5</w:t>
      </w:r>
      <w:r>
        <w:rPr>
          <w:rFonts w:hint="eastAsia"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lang w:val="en-US" w:eastAsia="zh-CN"/>
        </w:rPr>
        <w:t>9</w:t>
      </w:r>
      <w:r>
        <w:rPr>
          <w:rFonts w:hint="eastAsia" w:ascii="Times New Roman" w:hAnsi="Times New Roman" w:eastAsia="仿宋_GB2312" w:cs="Times New Roman"/>
          <w:color w:val="auto"/>
          <w:sz w:val="32"/>
          <w:szCs w:val="32"/>
        </w:rPr>
        <w:t>号</w:t>
      </w:r>
      <w:r>
        <w:rPr>
          <w:rFonts w:hint="eastAsia" w:ascii="Times New Roman" w:hAnsi="Times New Roman" w:eastAsia="仿宋_GB2312"/>
          <w:color w:val="auto"/>
          <w:sz w:val="32"/>
          <w:szCs w:val="32"/>
          <w:lang w:val="en-US" w:eastAsia="zh-CN"/>
        </w:rPr>
        <w:t>）精神</w:t>
      </w:r>
      <w:r>
        <w:rPr>
          <w:rFonts w:hint="eastAsia" w:ascii="Times New Roman" w:hAnsi="Times New Roman" w:eastAsia="仿宋_GB2312"/>
          <w:color w:val="auto"/>
          <w:sz w:val="32"/>
          <w:szCs w:val="32"/>
        </w:rPr>
        <w:t>，</w:t>
      </w:r>
      <w:r>
        <w:rPr>
          <w:rFonts w:hint="eastAsia" w:ascii="Times New Roman" w:hAnsi="Times New Roman" w:eastAsia="仿宋_GB2312"/>
          <w:color w:val="auto"/>
          <w:sz w:val="32"/>
          <w:szCs w:val="32"/>
          <w:lang w:val="en-US" w:eastAsia="zh-CN"/>
        </w:rPr>
        <w:t>将</w:t>
      </w:r>
      <w:r>
        <w:rPr>
          <w:rFonts w:hint="eastAsia" w:ascii="Times New Roman" w:hAnsi="Times New Roman" w:eastAsia="仿宋_GB2312"/>
          <w:color w:val="auto"/>
          <w:sz w:val="32"/>
          <w:szCs w:val="32"/>
        </w:rPr>
        <w:t>“</w:t>
      </w:r>
      <w:r>
        <w:rPr>
          <w:rFonts w:hint="eastAsia" w:ascii="Times New Roman" w:hAnsi="Times New Roman" w:eastAsia="仿宋_GB2312"/>
          <w:bCs/>
          <w:color w:val="auto"/>
          <w:kern w:val="0"/>
          <w:sz w:val="32"/>
          <w:szCs w:val="32"/>
          <w:shd w:val="clear" w:color="auto" w:fill="FFFFFF"/>
        </w:rPr>
        <w:t>中试服务平台</w:t>
      </w:r>
      <w:r>
        <w:rPr>
          <w:rFonts w:hint="eastAsia" w:ascii="Times New Roman" w:hAnsi="Times New Roman" w:eastAsia="仿宋_GB2312"/>
          <w:color w:val="auto"/>
          <w:sz w:val="32"/>
          <w:szCs w:val="32"/>
        </w:rPr>
        <w:t>”</w:t>
      </w:r>
      <w:r>
        <w:rPr>
          <w:rFonts w:hint="eastAsia" w:ascii="Times New Roman" w:hAnsi="Times New Roman" w:eastAsia="仿宋_GB2312"/>
          <w:color w:val="auto"/>
          <w:sz w:val="32"/>
          <w:szCs w:val="32"/>
          <w:lang w:eastAsia="zh-CN"/>
        </w:rPr>
        <w:t>纳入</w:t>
      </w:r>
      <w:r>
        <w:rPr>
          <w:rFonts w:hint="eastAsia" w:ascii="Times New Roman" w:hAnsi="Times New Roman" w:eastAsia="仿宋_GB2312"/>
          <w:color w:val="auto"/>
          <w:sz w:val="32"/>
          <w:szCs w:val="32"/>
        </w:rPr>
        <w:t>创新平台</w:t>
      </w:r>
      <w:r>
        <w:rPr>
          <w:rFonts w:hint="eastAsia" w:ascii="Times New Roman" w:hAnsi="Times New Roman" w:eastAsia="仿宋_GB2312"/>
          <w:color w:val="auto"/>
          <w:sz w:val="32"/>
          <w:szCs w:val="32"/>
          <w:lang w:eastAsia="zh-CN"/>
        </w:rPr>
        <w:t>补助范围，</w:t>
      </w:r>
      <w:r>
        <w:rPr>
          <w:rFonts w:hint="eastAsia" w:ascii="Times New Roman" w:hAnsi="Times New Roman" w:eastAsia="仿宋_GB2312"/>
          <w:color w:val="auto"/>
          <w:sz w:val="32"/>
          <w:szCs w:val="32"/>
          <w:lang w:val="en-US" w:eastAsia="zh-CN"/>
        </w:rPr>
        <w:t>并明确</w:t>
      </w:r>
      <w:r>
        <w:rPr>
          <w:rFonts w:hint="eastAsia" w:ascii="Times New Roman" w:hAnsi="Times New Roman" w:eastAsia="仿宋_GB2312"/>
          <w:color w:val="auto"/>
          <w:sz w:val="32"/>
          <w:szCs w:val="32"/>
        </w:rPr>
        <w:t>“</w:t>
      </w:r>
      <w:r>
        <w:rPr>
          <w:rFonts w:hint="eastAsia" w:ascii="Times New Roman" w:hAnsi="Times New Roman" w:eastAsia="仿宋_GB2312"/>
          <w:bCs/>
          <w:color w:val="auto"/>
          <w:kern w:val="0"/>
          <w:sz w:val="32"/>
          <w:szCs w:val="32"/>
          <w:shd w:val="clear" w:color="auto" w:fill="FFFFFF"/>
        </w:rPr>
        <w:t>新型研发机构</w:t>
      </w:r>
      <w:r>
        <w:rPr>
          <w:rFonts w:hint="eastAsia" w:ascii="Times New Roman" w:hAnsi="Times New Roman" w:eastAsia="仿宋_GB2312"/>
          <w:color w:val="auto"/>
          <w:sz w:val="32"/>
          <w:szCs w:val="32"/>
        </w:rPr>
        <w:t>”</w:t>
      </w:r>
      <w:r>
        <w:rPr>
          <w:rFonts w:hint="eastAsia" w:ascii="Times New Roman" w:hAnsi="Times New Roman" w:eastAsia="仿宋_GB2312"/>
          <w:color w:val="auto"/>
          <w:sz w:val="32"/>
          <w:szCs w:val="32"/>
          <w:lang w:val="en-US" w:eastAsia="zh-CN"/>
        </w:rPr>
        <w:t>属于</w:t>
      </w:r>
      <w:r>
        <w:rPr>
          <w:rFonts w:hint="eastAsia" w:ascii="Times New Roman" w:hAnsi="Times New Roman" w:eastAsia="仿宋_GB2312"/>
          <w:color w:val="auto"/>
          <w:sz w:val="32"/>
          <w:szCs w:val="32"/>
          <w:lang w:eastAsia="zh-CN"/>
        </w:rPr>
        <w:t>补助范围</w:t>
      </w:r>
      <w:r>
        <w:rPr>
          <w:rFonts w:hint="eastAsia" w:ascii="Times New Roman" w:hAnsi="Times New Roman" w:eastAsia="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bCs/>
          <w:color w:val="auto"/>
          <w:kern w:val="0"/>
          <w:sz w:val="32"/>
          <w:szCs w:val="32"/>
          <w:shd w:val="clear" w:color="auto" w:fill="FFFFFF"/>
        </w:rPr>
      </w:pPr>
      <w:r>
        <w:rPr>
          <w:rFonts w:hint="eastAsia" w:eastAsia="仿宋_GB2312"/>
          <w:b/>
          <w:bCs/>
          <w:color w:val="auto"/>
          <w:sz w:val="32"/>
          <w:szCs w:val="32"/>
          <w:lang w:val="en-US" w:eastAsia="zh-CN"/>
        </w:rPr>
        <w:t>3.</w:t>
      </w:r>
      <w:r>
        <w:rPr>
          <w:rFonts w:hint="eastAsia" w:ascii="Times New Roman" w:hAnsi="Times New Roman" w:eastAsia="仿宋_GB2312"/>
          <w:b/>
          <w:bCs/>
          <w:color w:val="auto"/>
          <w:sz w:val="32"/>
          <w:szCs w:val="32"/>
        </w:rPr>
        <w:t>调整</w:t>
      </w:r>
      <w:r>
        <w:rPr>
          <w:rFonts w:ascii="Times New Roman" w:hAnsi="Times New Roman" w:eastAsia="仿宋_GB2312"/>
          <w:b/>
          <w:bCs/>
          <w:color w:val="auto"/>
          <w:sz w:val="32"/>
          <w:szCs w:val="32"/>
        </w:rPr>
        <w:t>创业载体</w:t>
      </w:r>
      <w:r>
        <w:rPr>
          <w:rFonts w:hint="eastAsia" w:ascii="Times New Roman" w:hAnsi="Times New Roman" w:eastAsia="仿宋_GB2312"/>
          <w:b/>
          <w:bCs/>
          <w:color w:val="auto"/>
          <w:sz w:val="32"/>
          <w:szCs w:val="32"/>
        </w:rPr>
        <w:t>的扶持政策。</w:t>
      </w:r>
      <w:r>
        <w:rPr>
          <w:rFonts w:hint="eastAsia" w:ascii="Times New Roman" w:hAnsi="Times New Roman" w:eastAsia="仿宋_GB2312"/>
          <w:color w:val="auto"/>
          <w:sz w:val="32"/>
          <w:szCs w:val="32"/>
        </w:rPr>
        <w:t>参照其他县</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市</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区</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政策，结合我区实际，</w:t>
      </w:r>
      <w:r>
        <w:rPr>
          <w:rFonts w:hint="eastAsia" w:eastAsia="仿宋_GB2312"/>
          <w:color w:val="auto"/>
          <w:sz w:val="32"/>
          <w:szCs w:val="32"/>
          <w:lang w:val="en-US" w:eastAsia="zh-CN"/>
        </w:rPr>
        <w:t>将</w:t>
      </w:r>
      <w:r>
        <w:rPr>
          <w:rFonts w:hint="eastAsia" w:ascii="Times New Roman" w:hAnsi="Times New Roman" w:eastAsia="仿宋_GB2312"/>
          <w:color w:val="auto"/>
          <w:sz w:val="32"/>
          <w:szCs w:val="32"/>
        </w:rPr>
        <w:t>本条款调整为：对已认定的国家级科技企业孵化器、众创空间的运营主体，给予一次性30万元奖励，次年起连续5年，每年分别给予运营主体</w:t>
      </w:r>
      <w:r>
        <w:rPr>
          <w:rFonts w:hint="eastAsia" w:ascii="Times New Roman" w:hAnsi="Times New Roman" w:eastAsia="仿宋_GB2312"/>
          <w:color w:val="auto"/>
          <w:sz w:val="32"/>
          <w:szCs w:val="32"/>
          <w:lang w:val="en-US" w:eastAsia="zh-CN"/>
        </w:rPr>
        <w:t>35</w:t>
      </w:r>
      <w:r>
        <w:rPr>
          <w:rFonts w:hint="eastAsia" w:ascii="Times New Roman" w:hAnsi="Times New Roman" w:eastAsia="仿宋_GB2312"/>
          <w:color w:val="auto"/>
          <w:sz w:val="32"/>
          <w:szCs w:val="32"/>
        </w:rPr>
        <w:t>万元的运营经费补助。对新认定的省级、市级科技企业孵化器、众创空间的运营主体，自认定年度起连续5年，每年分别给予运营主体6万元、2万元的运营经费补助。</w:t>
      </w:r>
    </w:p>
    <w:p>
      <w:pPr>
        <w:pStyle w:val="2"/>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eastAsia="仿宋_GB2312"/>
          <w:bCs/>
          <w:color w:val="auto"/>
          <w:kern w:val="0"/>
          <w:sz w:val="32"/>
          <w:szCs w:val="32"/>
          <w:shd w:val="clear" w:color="auto" w:fill="FFFFFF"/>
          <w:lang w:val="en-US" w:eastAsia="zh-CN"/>
        </w:rPr>
      </w:pPr>
      <w:r>
        <w:rPr>
          <w:rFonts w:hint="eastAsia" w:eastAsia="仿宋_GB2312"/>
          <w:b/>
          <w:color w:val="auto"/>
          <w:kern w:val="0"/>
          <w:sz w:val="32"/>
          <w:szCs w:val="32"/>
          <w:shd w:val="clear" w:color="auto" w:fill="FFFFFF"/>
          <w:lang w:val="en-US" w:eastAsia="zh-CN"/>
        </w:rPr>
        <w:t>4</w:t>
      </w:r>
      <w:r>
        <w:rPr>
          <w:rFonts w:hint="eastAsia" w:ascii="Times New Roman" w:hAnsi="Times New Roman" w:eastAsia="仿宋_GB2312"/>
          <w:b/>
          <w:color w:val="auto"/>
          <w:kern w:val="0"/>
          <w:sz w:val="32"/>
          <w:szCs w:val="32"/>
          <w:shd w:val="clear" w:color="auto" w:fill="FFFFFF"/>
        </w:rPr>
        <w:t>.调整科技创新券补助政策。</w:t>
      </w:r>
      <w:r>
        <w:rPr>
          <w:rFonts w:hint="eastAsia" w:ascii="Times New Roman" w:hAnsi="Times New Roman" w:eastAsia="仿宋_GB2312"/>
          <w:bCs/>
          <w:color w:val="auto"/>
          <w:kern w:val="0"/>
          <w:sz w:val="32"/>
          <w:szCs w:val="32"/>
          <w:shd w:val="clear" w:color="auto" w:fill="FFFFFF"/>
        </w:rPr>
        <w:t>根据实际兑现情况，</w:t>
      </w:r>
      <w:r>
        <w:rPr>
          <w:rFonts w:hint="eastAsia" w:eastAsia="仿宋_GB2312"/>
          <w:bCs/>
          <w:color w:val="auto"/>
          <w:kern w:val="0"/>
          <w:sz w:val="32"/>
          <w:szCs w:val="32"/>
          <w:shd w:val="clear" w:color="auto" w:fill="FFFFFF"/>
          <w:lang w:val="en-US" w:eastAsia="zh-CN"/>
        </w:rPr>
        <w:t>取消对获得市级科技创新券的企业叠加区级奖补，将原政策修改为“对获得省科技创新券补助的，按其补助金额的25%给予区级配套”。</w:t>
      </w:r>
    </w:p>
    <w:p>
      <w:pPr>
        <w:pStyle w:val="3"/>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auto"/>
          <w:kern w:val="2"/>
          <w:sz w:val="32"/>
          <w:szCs w:val="32"/>
          <w:lang w:val="en-US" w:eastAsia="zh-CN" w:bidi="ar-SA"/>
        </w:rPr>
      </w:pPr>
      <w:r>
        <w:rPr>
          <w:rFonts w:hint="eastAsia" w:ascii="黑体" w:hAnsi="黑体" w:eastAsia="黑体" w:cs="黑体"/>
          <w:b w:val="0"/>
          <w:bCs/>
          <w:color w:val="auto"/>
          <w:kern w:val="2"/>
          <w:sz w:val="32"/>
          <w:szCs w:val="32"/>
          <w:lang w:val="en-US" w:eastAsia="zh-CN" w:bidi="ar-SA"/>
        </w:rPr>
        <w:t>四、其他事项</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lang w:eastAsia="zh-CN"/>
        </w:rPr>
      </w:pPr>
      <w:r>
        <w:rPr>
          <w:rFonts w:hint="eastAsia" w:ascii="Times New Roman" w:hAnsi="Times New Roman" w:eastAsia="仿宋_GB2312"/>
          <w:color w:val="auto"/>
          <w:sz w:val="32"/>
          <w:szCs w:val="32"/>
          <w:highlight w:val="none"/>
        </w:rPr>
        <w:t>本</w:t>
      </w:r>
      <w:r>
        <w:rPr>
          <w:rFonts w:hint="eastAsia" w:ascii="Times New Roman" w:hAnsi="Times New Roman" w:eastAsia="仿宋_GB2312"/>
          <w:color w:val="auto"/>
          <w:sz w:val="32"/>
          <w:szCs w:val="32"/>
          <w:highlight w:val="none"/>
          <w:lang w:val="en-US" w:eastAsia="zh-CN"/>
        </w:rPr>
        <w:t>措施</w:t>
      </w:r>
      <w:r>
        <w:rPr>
          <w:rFonts w:hint="eastAsia" w:ascii="Times New Roman" w:hAnsi="Times New Roman" w:eastAsia="仿宋_GB2312"/>
          <w:color w:val="auto"/>
          <w:sz w:val="32"/>
          <w:szCs w:val="32"/>
          <w:highlight w:val="none"/>
        </w:rPr>
        <w:t>自</w:t>
      </w:r>
      <w:r>
        <w:rPr>
          <w:rFonts w:hint="eastAsia" w:ascii="Times New Roman" w:hAnsi="Times New Roman" w:eastAsia="仿宋_GB2312"/>
          <w:color w:val="auto"/>
          <w:sz w:val="32"/>
          <w:szCs w:val="32"/>
          <w:highlight w:val="none"/>
          <w:lang w:val="en-US" w:eastAsia="zh-CN"/>
        </w:rPr>
        <w:t>2025年</w:t>
      </w:r>
      <w:r>
        <w:rPr>
          <w:rFonts w:hint="eastAsia" w:eastAsia="仿宋_GB2312"/>
          <w:color w:val="auto"/>
          <w:sz w:val="32"/>
          <w:szCs w:val="32"/>
          <w:highlight w:val="none"/>
          <w:u w:val="none"/>
          <w:lang w:val="en-US" w:eastAsia="zh-CN"/>
        </w:rPr>
        <w:t>7</w:t>
      </w:r>
      <w:r>
        <w:rPr>
          <w:rFonts w:hint="eastAsia" w:ascii="Times New Roman" w:hAnsi="Times New Roman" w:eastAsia="仿宋_GB2312"/>
          <w:color w:val="auto"/>
          <w:sz w:val="32"/>
          <w:szCs w:val="32"/>
          <w:highlight w:val="none"/>
          <w:u w:val="none"/>
          <w:lang w:val="en-US" w:eastAsia="zh-CN"/>
        </w:rPr>
        <w:t>月</w:t>
      </w:r>
      <w:r>
        <w:rPr>
          <w:rFonts w:hint="eastAsia" w:eastAsia="仿宋_GB2312"/>
          <w:color w:val="auto"/>
          <w:sz w:val="32"/>
          <w:szCs w:val="32"/>
          <w:highlight w:val="none"/>
          <w:u w:val="none"/>
          <w:lang w:val="en-US" w:eastAsia="zh-CN"/>
        </w:rPr>
        <w:t>2</w:t>
      </w:r>
      <w:r>
        <w:rPr>
          <w:rFonts w:hint="eastAsia" w:ascii="Times New Roman" w:hAnsi="Times New Roman" w:eastAsia="仿宋_GB2312"/>
          <w:color w:val="auto"/>
          <w:sz w:val="32"/>
          <w:szCs w:val="32"/>
          <w:highlight w:val="none"/>
          <w:u w:val="none"/>
          <w:lang w:val="en-US" w:eastAsia="zh-CN"/>
        </w:rPr>
        <w:t>日起施行</w:t>
      </w:r>
      <w:r>
        <w:rPr>
          <w:rFonts w:hint="eastAsia" w:ascii="Times New Roman" w:hAnsi="Times New Roman" w:eastAsia="仿宋_GB2312"/>
          <w:color w:val="auto"/>
          <w:sz w:val="32"/>
          <w:szCs w:val="32"/>
          <w:highlight w:val="none"/>
          <w:u w:val="none"/>
        </w:rPr>
        <w:t>，有效</w:t>
      </w:r>
      <w:r>
        <w:rPr>
          <w:rFonts w:hint="eastAsia" w:ascii="Times New Roman" w:hAnsi="Times New Roman" w:eastAsia="仿宋_GB2312"/>
          <w:color w:val="auto"/>
          <w:sz w:val="32"/>
          <w:szCs w:val="32"/>
          <w:highlight w:val="none"/>
        </w:rPr>
        <w:t>期至2027年1</w:t>
      </w:r>
      <w:r>
        <w:rPr>
          <w:rFonts w:hint="eastAsia" w:ascii="Times New Roman" w:hAnsi="Times New Roman" w:eastAsia="仿宋_GB2312"/>
          <w:color w:val="auto"/>
          <w:sz w:val="32"/>
          <w:szCs w:val="32"/>
          <w:highlight w:val="none"/>
          <w:u w:val="none"/>
        </w:rPr>
        <w:t>2月31日</w:t>
      </w:r>
      <w:r>
        <w:rPr>
          <w:rFonts w:hint="eastAsia" w:ascii="Times New Roman" w:hAnsi="Times New Roman" w:eastAsia="仿宋_GB2312"/>
          <w:color w:val="auto"/>
          <w:sz w:val="32"/>
          <w:szCs w:val="32"/>
          <w:highlight w:val="none"/>
          <w:u w:val="none"/>
          <w:lang w:val="en-US" w:eastAsia="zh-CN"/>
        </w:rPr>
        <w:t>止，</w:t>
      </w:r>
      <w:r>
        <w:rPr>
          <w:rFonts w:hint="eastAsia" w:ascii="Times New Roman" w:hAnsi="Times New Roman" w:eastAsia="仿宋_GB2312"/>
          <w:color w:val="auto"/>
          <w:sz w:val="32"/>
          <w:szCs w:val="32"/>
          <w:highlight w:val="none"/>
          <w:u w:val="none"/>
        </w:rPr>
        <w:t>此前出台的其他区级科技类优惠政策皆不再执行</w:t>
      </w:r>
      <w:r>
        <w:rPr>
          <w:rFonts w:hint="eastAsia" w:ascii="Times New Roman" w:hAnsi="Times New Roman" w:eastAsia="仿宋_GB2312"/>
          <w:color w:val="auto"/>
          <w:kern w:val="0"/>
          <w:sz w:val="32"/>
          <w:szCs w:val="32"/>
          <w:highlight w:val="none"/>
          <w:u w:val="none"/>
        </w:rPr>
        <w:t>。</w:t>
      </w:r>
      <w:r>
        <w:rPr>
          <w:rFonts w:ascii="Times New Roman" w:hAnsi="Times New Roman" w:eastAsia="仿宋_GB2312"/>
          <w:color w:val="auto"/>
          <w:sz w:val="32"/>
          <w:szCs w:val="32"/>
          <w:highlight w:val="none"/>
          <w:u w:val="none"/>
        </w:rPr>
        <w:t>在原政策有效期内已获批但尚未完全兑现奖励或补助的项目，按原政策执行；在原政策有效期内</w:t>
      </w:r>
      <w:r>
        <w:rPr>
          <w:rFonts w:hint="eastAsia" w:ascii="Times New Roman" w:hAnsi="Times New Roman" w:eastAsia="仿宋_GB2312"/>
          <w:color w:val="auto"/>
          <w:sz w:val="32"/>
          <w:szCs w:val="32"/>
          <w:highlight w:val="none"/>
          <w:u w:val="none"/>
        </w:rPr>
        <w:t>启动申报程序但尚未获批的，按</w:t>
      </w:r>
      <w:r>
        <w:rPr>
          <w:rFonts w:ascii="Times New Roman" w:hAnsi="Times New Roman" w:eastAsia="仿宋_GB2312"/>
          <w:color w:val="auto"/>
          <w:sz w:val="32"/>
          <w:szCs w:val="32"/>
          <w:highlight w:val="none"/>
          <w:u w:val="none"/>
        </w:rPr>
        <w:t>本</w:t>
      </w:r>
      <w:r>
        <w:rPr>
          <w:rFonts w:hint="eastAsia" w:ascii="Times New Roman" w:hAnsi="Times New Roman" w:eastAsia="仿宋_GB2312"/>
          <w:color w:val="auto"/>
          <w:sz w:val="32"/>
          <w:szCs w:val="32"/>
          <w:highlight w:val="none"/>
          <w:u w:val="none"/>
          <w:lang w:val="en-US" w:eastAsia="zh-CN"/>
        </w:rPr>
        <w:t>措施</w:t>
      </w:r>
      <w:r>
        <w:rPr>
          <w:rFonts w:ascii="Times New Roman" w:hAnsi="Times New Roman" w:eastAsia="仿宋_GB2312"/>
          <w:color w:val="auto"/>
          <w:sz w:val="32"/>
          <w:szCs w:val="32"/>
          <w:highlight w:val="none"/>
          <w:u w:val="none"/>
        </w:rPr>
        <w:t>执行。</w:t>
      </w:r>
    </w:p>
    <w:p>
      <w:pPr>
        <w:pStyle w:val="3"/>
        <w:keepNext w:val="0"/>
        <w:keepLines w:val="0"/>
        <w:pageBreakBefore w:val="0"/>
        <w:widowControl w:val="0"/>
        <w:kinsoku/>
        <w:wordWrap/>
        <w:topLinePunct w:val="0"/>
        <w:autoSpaceDE/>
        <w:autoSpaceDN/>
        <w:bidi w:val="0"/>
        <w:spacing w:line="560" w:lineRule="exact"/>
        <w:ind w:firstLine="640" w:firstLineChars="200"/>
        <w:textAlignment w:val="auto"/>
        <w:rPr>
          <w:rFonts w:hint="default" w:eastAsia="仿宋_GB2312"/>
          <w:color w:val="auto"/>
          <w:sz w:val="32"/>
          <w:szCs w:val="32"/>
          <w:highlight w:val="none"/>
          <w:lang w:val="en-US" w:eastAsia="zh-CN"/>
        </w:rPr>
      </w:pPr>
    </w:p>
    <w:p>
      <w:pPr>
        <w:pStyle w:val="2"/>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Arial Unicode MS"/>
    <w:panose1 w:val="02000000000000000000"/>
    <w:charset w:val="86"/>
    <w:family w:val="auto"/>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614E28"/>
    <w:rsid w:val="080A6F19"/>
    <w:rsid w:val="08491C8F"/>
    <w:rsid w:val="0D614E28"/>
    <w:rsid w:val="0D830433"/>
    <w:rsid w:val="0DD540A9"/>
    <w:rsid w:val="0F1B1C63"/>
    <w:rsid w:val="11435DF6"/>
    <w:rsid w:val="17311E30"/>
    <w:rsid w:val="21236C2A"/>
    <w:rsid w:val="22771D9A"/>
    <w:rsid w:val="2AA96EF6"/>
    <w:rsid w:val="2DA63626"/>
    <w:rsid w:val="2FD51114"/>
    <w:rsid w:val="37A20AE2"/>
    <w:rsid w:val="3DCE582C"/>
    <w:rsid w:val="3ED863C8"/>
    <w:rsid w:val="406A2879"/>
    <w:rsid w:val="409B3A5D"/>
    <w:rsid w:val="42C87ED2"/>
    <w:rsid w:val="4670629F"/>
    <w:rsid w:val="49271829"/>
    <w:rsid w:val="4DD77EA1"/>
    <w:rsid w:val="53682642"/>
    <w:rsid w:val="586C5A9C"/>
    <w:rsid w:val="59C1468A"/>
    <w:rsid w:val="60FA640C"/>
    <w:rsid w:val="636A015D"/>
    <w:rsid w:val="6D9434CA"/>
    <w:rsid w:val="6EFD1F2B"/>
    <w:rsid w:val="6F4223BF"/>
    <w:rsid w:val="6F481ACE"/>
    <w:rsid w:val="789801EC"/>
    <w:rsid w:val="79B340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Plain Text"/>
    <w:basedOn w:val="1"/>
    <w:qFormat/>
    <w:uiPriority w:val="0"/>
    <w:rPr>
      <w:rFonts w:ascii="宋体" w:hAnsi="Courier New" w:cs="Courier New"/>
      <w:szCs w:val="21"/>
    </w:rPr>
  </w:style>
  <w:style w:type="paragraph" w:customStyle="1" w:styleId="6">
    <w:name w:val="Default"/>
    <w:unhideWhenUsed/>
    <w:qFormat/>
    <w:uiPriority w:val="99"/>
    <w:pPr>
      <w:widowControl w:val="0"/>
      <w:autoSpaceDE w:val="0"/>
      <w:autoSpaceDN w:val="0"/>
      <w:adjustRightInd w:val="0"/>
    </w:pPr>
    <w:rPr>
      <w:rFonts w:hint="eastAsia" w:ascii="方正仿宋_GBK" w:hAnsi="方正仿宋_GBK" w:eastAsia="方正仿宋_GBK"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Office_11.1.0.8919_F1E327BC-269C-435d-A152-05C5408002CA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2025-07-03T06:29:00Z</dcterms:created>
  <dc:creator>管理员</dc:creator>
  <cp:lastModifiedBy>管理员</cp:lastModifiedBy>
  <dcterms:modified xsi:type="dcterms:W3CDTF">2025-07-18T09:24:40Z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2052-11.1.0.8919</vt:lpwstr>
  </property>
</Properties>
</file>